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 w:asciiTheme="minorHAnsi" w:cstheme="minorBidi" w:hAnsiTheme="minorHAnsi"/>
          <w:b/>
          <w:b/>
          <w:lang w:eastAsia="en-US"/>
        </w:rPr>
      </w:pPr>
      <w:r>
        <w:rPr>
          <w:rFonts w:cs="" w:cstheme="minorBidi"/>
          <w:b/>
          <w:lang w:eastAsia="en-US"/>
        </w:rPr>
        <w:t xml:space="preserve">INFORMACJA DOTYCZĄCA </w:t>
      </w:r>
      <w:bookmarkStart w:id="0" w:name="_GoBack"/>
      <w:bookmarkEnd w:id="0"/>
      <w:r>
        <w:rPr>
          <w:rFonts w:cs="" w:cstheme="minorBidi"/>
          <w:b/>
          <w:lang w:eastAsia="en-US"/>
        </w:rPr>
        <w:t>ZASAD ZALICZANIA ROKU AKADEMICKIEGO ORAZ WARUNKÓW POWTARZANIA NIEZALICZONYCH PRZEDMIOTÓW I NIEZALICZONEGO ROKU STUDIÓW</w:t>
      </w:r>
    </w:p>
    <w:p>
      <w:pPr>
        <w:pStyle w:val="Normal"/>
        <w:jc w:val="center"/>
        <w:rPr>
          <w:rFonts w:ascii="Calibri" w:hAnsi="Calibri" w:cs="" w:asciiTheme="minorHAnsi" w:cstheme="minorBidi" w:hAnsiTheme="minorHAnsi"/>
          <w:b/>
          <w:b/>
          <w:lang w:eastAsia="en-US"/>
        </w:rPr>
      </w:pPr>
      <w:r>
        <w:rPr>
          <w:rFonts w:cs="" w:cstheme="minorBidi"/>
          <w:b/>
          <w:lang w:eastAsia="en-US"/>
        </w:rPr>
      </w:r>
    </w:p>
    <w:p>
      <w:pPr>
        <w:pStyle w:val="Annotationtext"/>
        <w:numPr>
          <w:ilvl w:val="0"/>
          <w:numId w:val="5"/>
        </w:numPr>
        <w:rPr>
          <w:b/>
          <w:b/>
        </w:rPr>
      </w:pPr>
      <w:r>
        <w:rPr>
          <w:rFonts w:cs="" w:cstheme="minorBidi"/>
          <w:lang w:eastAsia="en-US"/>
        </w:rPr>
        <w:t>Zgodnie z Regulaminem Studiów w AFiB Vistula oraz SGTiR (</w:t>
      </w:r>
      <w:r>
        <w:rPr/>
        <w:t>Rozdział IV, §29 pkt 1, §30 pkt 1, §32 pkt 1)</w:t>
      </w:r>
    </w:p>
    <w:p>
      <w:pPr>
        <w:pStyle w:val="Normal"/>
        <w:jc w:val="both"/>
        <w:rPr>
          <w:rFonts w:ascii="Calibri" w:hAnsi="Calibri" w:cs="" w:asciiTheme="minorHAnsi" w:cstheme="minorBidi" w:hAnsiTheme="minorHAnsi"/>
          <w:lang w:eastAsia="en-US"/>
        </w:rPr>
      </w:pPr>
      <w:r>
        <w:rPr>
          <w:rFonts w:cs="" w:cstheme="minorBidi"/>
          <w:color w:val="FF0000"/>
          <w:lang w:eastAsia="en-US"/>
        </w:rPr>
        <w:t xml:space="preserve"> </w:t>
      </w:r>
      <w:r>
        <w:rPr>
          <w:rFonts w:cs="" w:cstheme="minorBidi"/>
          <w:lang w:eastAsia="en-US"/>
        </w:rPr>
        <w:t>obowiązują następujące zasady zaliczenia roku akademickiego (bezwarunkowo i warunkowo) oraz powtarzania roku akademickiego:</w:t>
      </w:r>
    </w:p>
    <w:p>
      <w:pPr>
        <w:pStyle w:val="Normal"/>
        <w:numPr>
          <w:ilvl w:val="0"/>
          <w:numId w:val="2"/>
        </w:numPr>
        <w:jc w:val="both"/>
        <w:rPr>
          <w:rFonts w:ascii="Calibri" w:hAnsi="Calibri" w:cs="" w:asciiTheme="minorHAnsi" w:cstheme="minorBidi" w:hAnsiTheme="minorHAnsi"/>
          <w:lang w:eastAsia="en-US"/>
        </w:rPr>
      </w:pPr>
      <w:r>
        <w:rPr>
          <w:rFonts w:cs="" w:cstheme="minorBidi"/>
          <w:lang w:eastAsia="en-US"/>
        </w:rPr>
        <w:t xml:space="preserve">Zaliczenie całego programu danego roku studiów (osiągnięcie 60 ECTS) – student bezwarunkowo kierowany jest na kolejny rok studiów; </w:t>
      </w:r>
    </w:p>
    <w:p>
      <w:pPr>
        <w:pStyle w:val="Normal"/>
        <w:numPr>
          <w:ilvl w:val="0"/>
          <w:numId w:val="2"/>
        </w:numPr>
        <w:jc w:val="both"/>
        <w:rPr>
          <w:rFonts w:ascii="Calibri" w:hAnsi="Calibri" w:cs="" w:asciiTheme="minorHAnsi" w:cstheme="minorBidi" w:hAnsiTheme="minorHAnsi"/>
          <w:lang w:eastAsia="en-US"/>
        </w:rPr>
      </w:pPr>
      <w:r>
        <w:rPr>
          <w:rFonts w:cs="" w:cstheme="minorBidi"/>
          <w:lang w:eastAsia="en-US"/>
        </w:rPr>
        <w:t>Zaliczenie części programu danego roku studiów  (osiągnięcie nie mniej niż 40 ECTS) – student warunkowo może być skierowany na kolejny rok studiów;</w:t>
      </w:r>
    </w:p>
    <w:p>
      <w:pPr>
        <w:pStyle w:val="Normal"/>
        <w:numPr>
          <w:ilvl w:val="0"/>
          <w:numId w:val="2"/>
        </w:numPr>
        <w:jc w:val="both"/>
        <w:rPr>
          <w:rFonts w:ascii="Calibri" w:hAnsi="Calibri" w:cs="" w:asciiTheme="minorHAnsi" w:cstheme="minorBidi" w:hAnsiTheme="minorHAnsi"/>
          <w:lang w:eastAsia="en-US"/>
        </w:rPr>
      </w:pPr>
      <w:r>
        <w:rPr>
          <w:rFonts w:cs="" w:cstheme="minorBidi"/>
          <w:lang w:eastAsia="en-US"/>
        </w:rPr>
        <w:t xml:space="preserve">Niezaliczenie całości programu  danego roku studiów lub zaliczenie jego części (osiągnięcie mniej niż 40 ECTS) – student powtarza niezaliczony rok studiów (zachowuje oceny i ECTS osiągnięte i wpisane do USOS w poprzednim roku akademickim, z zastrzeżeniem </w:t>
      </w:r>
      <w:r>
        <w:rPr/>
        <w:t xml:space="preserve"> §32 pkt 2 Regulaminu Studiów)</w:t>
      </w:r>
    </w:p>
    <w:p>
      <w:pPr>
        <w:pStyle w:val="Annotationtext"/>
        <w:numPr>
          <w:ilvl w:val="0"/>
          <w:numId w:val="5"/>
        </w:numPr>
        <w:rPr/>
      </w:pPr>
      <w:r>
        <w:rPr>
          <w:rFonts w:cs="" w:cstheme="minorBidi"/>
          <w:lang w:eastAsia="en-US"/>
        </w:rPr>
        <w:t xml:space="preserve">Zgodnie z </w:t>
      </w:r>
      <w:r>
        <w:rPr/>
        <w:t>§3 pkt 1, 2, 3 Zarządzenia Kanclerza w sprawie odpłatności za studia</w:t>
      </w:r>
      <w:r>
        <w:rPr>
          <w:rFonts w:cs="" w:cstheme="minorBidi"/>
          <w:color w:val="FF0000"/>
          <w:lang w:eastAsia="en-US"/>
        </w:rPr>
        <w:t xml:space="preserve"> </w:t>
      </w:r>
      <w:r>
        <w:rPr>
          <w:rFonts w:cs="" w:cstheme="minorBidi"/>
          <w:lang w:eastAsia="en-US"/>
        </w:rPr>
        <w:t>obowiązują następujące zasady wnoszenia opłat dotyczących powtarzania roku/semestru studiów lub powtarzania przedmiotów w przypadku warunkowego zaliczenia roku akademickiego:</w:t>
      </w:r>
    </w:p>
    <w:p>
      <w:pPr>
        <w:pStyle w:val="Annotationtext"/>
        <w:numPr>
          <w:ilvl w:val="0"/>
          <w:numId w:val="3"/>
        </w:numPr>
        <w:rPr/>
      </w:pPr>
      <w:r>
        <w:rPr>
          <w:rFonts w:cs="" w:cstheme="minorBidi"/>
          <w:lang w:eastAsia="en-US"/>
        </w:rPr>
        <w:t xml:space="preserve">W przypadku skierowania warunkowego na kolejny rok studiów (p. 1.b)– student poza standardowym obowiązującym czesnym za nowy rok akademicki wnosi opłatę za każdy zaliczany warunkowo przedmiot w wysokości  </w:t>
      </w:r>
      <w:r>
        <w:rPr/>
        <w:t>400 zł – studia polskojęzyczne i 200 euro – studia angielskojęzyczne;</w:t>
      </w:r>
    </w:p>
    <w:p>
      <w:pPr>
        <w:pStyle w:val="Normal"/>
        <w:numPr>
          <w:ilvl w:val="0"/>
          <w:numId w:val="3"/>
        </w:numPr>
        <w:jc w:val="both"/>
        <w:rPr>
          <w:rFonts w:ascii="Calibri" w:hAnsi="Calibri" w:cs="" w:asciiTheme="minorHAnsi" w:cstheme="minorBidi" w:hAnsiTheme="minorHAnsi"/>
          <w:lang w:eastAsia="en-US"/>
        </w:rPr>
      </w:pPr>
      <w:r>
        <w:rPr>
          <w:rFonts w:cs="" w:cstheme="minorBidi"/>
          <w:lang w:eastAsia="en-US"/>
        </w:rPr>
        <w:t>W przypadku niezaliczenia roku akademickiego (p. 1.c) student wnosi opłatę za cały powtarzany rok akademicki;</w:t>
      </w:r>
    </w:p>
    <w:p>
      <w:pPr>
        <w:pStyle w:val="Normal"/>
        <w:numPr>
          <w:ilvl w:val="0"/>
          <w:numId w:val="3"/>
        </w:numPr>
        <w:jc w:val="both"/>
        <w:rPr>
          <w:rFonts w:ascii="Calibri" w:hAnsi="Calibri" w:cs="" w:asciiTheme="minorHAnsi" w:cstheme="minorBidi" w:hAnsiTheme="minorHAnsi"/>
          <w:lang w:eastAsia="en-US"/>
        </w:rPr>
      </w:pPr>
      <w:r>
        <w:rPr>
          <w:rFonts w:cs="" w:cstheme="minorBidi"/>
          <w:lang w:eastAsia="en-US"/>
        </w:rPr>
        <w:t>W przypadku niezłożenia w obowiązującym terminie pracy dyplomowej student wnosi opłatę w wysokości 50% czesnego za powtarzanie ostatniego semestru studiów w zakresie seminarium dyplomowego;</w:t>
      </w:r>
    </w:p>
    <w:p>
      <w:pPr>
        <w:pStyle w:val="Normal"/>
        <w:numPr>
          <w:ilvl w:val="0"/>
          <w:numId w:val="1"/>
        </w:numPr>
        <w:jc w:val="both"/>
        <w:rPr>
          <w:rFonts w:ascii="Calibri" w:hAnsi="Calibri" w:cs="" w:asciiTheme="minorHAnsi" w:cstheme="minorBidi" w:hAnsiTheme="minorHAnsi"/>
          <w:lang w:eastAsia="en-US"/>
        </w:rPr>
      </w:pPr>
      <w:r>
        <w:rPr>
          <w:rFonts w:cs="" w:cstheme="minorBidi"/>
          <w:lang w:eastAsia="en-US"/>
        </w:rPr>
        <w:t>Student, który może zostać skierowany warunkowo na kolejny rok studiów (p. 1.b):</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Składa do dziekana podanie (przez USOS) z wnioskiem o zgodę na warunkowe zaliczenie roku studiów ze wskazaniem przedmiotów niezaliczonych w poprzednim roku akademickim;</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Uzyskuje od dziekana lub dyrektora/zastępcy dyrektora programu imienne skierowanie do konkretnego wykładowcy/egzaminatora na przystąpienie do zaliczenia niezaliczonego/ych przedmiotu/przedmiotów;</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Pobiera w dziekanacie mały imienny protokół zaliczenia przedmiotu u konkretnego wykładowcy (p. 3.b);</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Zgłasza się do wykładowcy/egzaminatora, z którym uzgadnia warunki, sposób i termin zaliczenia zaległego przedmiotu;</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Po zaliczeniu przedmiotu uzyskuje od egzaminatora wpis oceny do protokołu imiennego (p. 3.c);</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Protokół imienny przekazuje do dziekanatu;</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Ma prawo uczestniczenia w zajęciach z przedmiotów niezaliczonych. W przypadku kolizji terminów zajęć w planach studiów, student może korzystać z zajęć prowadzonych w innym trybie (stacjonarnie/niestacjonarnie)</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Termin rozliczenia przedmiotów warunkowych – jeden rok akademicki (do końca września w danym roku akademickim)</w:t>
      </w:r>
    </w:p>
    <w:p>
      <w:pPr>
        <w:pStyle w:val="Normal"/>
        <w:numPr>
          <w:ilvl w:val="0"/>
          <w:numId w:val="4"/>
        </w:numPr>
        <w:jc w:val="both"/>
        <w:rPr>
          <w:rFonts w:ascii="Calibri" w:hAnsi="Calibri" w:cs="" w:asciiTheme="minorHAnsi" w:cstheme="minorBidi" w:hAnsiTheme="minorHAnsi"/>
          <w:lang w:eastAsia="en-US"/>
        </w:rPr>
      </w:pPr>
      <w:r>
        <w:rPr>
          <w:rFonts w:cs="" w:cstheme="minorBidi"/>
          <w:lang w:eastAsia="en-US"/>
        </w:rPr>
        <w:t>Student, który nie zaliczył w danym roku akademickim powtarzanych warunkowo przedmiotów), kierowany jest przez dziekana na powtarzanie całego roku studiów lub za zgodą dziekana, po wniesieniu kolejnych opłat za niezaliczone przedmioty, może uzyskać skierowanie na warunkowe zaliczenie roku studiów.</w:t>
      </w:r>
    </w:p>
    <w:p>
      <w:pPr>
        <w:pStyle w:val="ListParagraph"/>
        <w:numPr>
          <w:ilvl w:val="0"/>
          <w:numId w:val="1"/>
        </w:numPr>
        <w:jc w:val="both"/>
        <w:rPr>
          <w:rFonts w:ascii="Calibri" w:hAnsi="Calibri" w:cs="" w:asciiTheme="minorHAnsi" w:cstheme="minorBidi" w:hAnsiTheme="minorHAnsi"/>
          <w:lang w:eastAsia="en-US"/>
        </w:rPr>
      </w:pPr>
      <w:r>
        <w:rPr>
          <w:rFonts w:cs="" w:cstheme="minorBidi"/>
          <w:lang w:eastAsia="en-US"/>
        </w:rPr>
        <w:t xml:space="preserve">Student powinien systematycznie sprawdzać stan swoich zaliczeń w USOS i powinien zgłosić zauważony brak uzyskanej  w danym roku studiów oceny w trybie właściwym lub poprawkowym wykładowcy i następnej kolejności: opiekunowi roku, dyrektorowi/zastępcy dyrektora programu, dziekanowi lub jego zastępcy. W przypadku braku wpisu do USOS oceny z przedmiotu zaliczonego w ramach „warunku” przekazanej do dziekanatu na imiennym protokole, student powinien wyjaśnić sprawę bezpośrednio w dziekanacie lub za pośrednictwem opiekuna roku. </w:t>
      </w:r>
    </w:p>
    <w:p>
      <w:pPr>
        <w:pStyle w:val="ListParagraph"/>
        <w:numPr>
          <w:ilvl w:val="0"/>
          <w:numId w:val="1"/>
        </w:numPr>
        <w:jc w:val="both"/>
        <w:rPr>
          <w:rFonts w:ascii="Calibri" w:hAnsi="Calibri" w:cs="" w:asciiTheme="minorHAnsi" w:cstheme="minorBidi" w:hAnsiTheme="minorHAnsi"/>
          <w:lang w:eastAsia="en-US"/>
        </w:rPr>
      </w:pPr>
      <w:r>
        <w:rPr>
          <w:rFonts w:cs="" w:cstheme="minorBidi"/>
          <w:lang w:eastAsia="en-US"/>
        </w:rPr>
        <w:t>Wątpliwości i szczególne sprawy dotyczące zaliczeń student powinien wyjaśniać w następującej kolejności: wykładowca/egzaminator, dziekanat, opiekun roku studiów, dyrektor/zastępca dyrektora programu, prodziekan, dziekan, prorektor do spraw studenckich.</w:t>
      </w:r>
    </w:p>
    <w:p>
      <w:pPr>
        <w:pStyle w:val="Normal"/>
        <w:jc w:val="both"/>
        <w:rPr>
          <w:rFonts w:ascii="Calibri" w:hAnsi="Calibri" w:cs="" w:asciiTheme="minorHAnsi" w:cstheme="minorBidi" w:hAnsiTheme="minorHAnsi"/>
          <w:lang w:eastAsia="en-US"/>
        </w:rPr>
      </w:pPr>
      <w:r>
        <w:rPr>
          <w:rFonts w:cs="" w:cstheme="minorBidi"/>
          <w:lang w:eastAsia="en-US"/>
        </w:rPr>
      </w:r>
    </w:p>
    <w:p>
      <w:pPr>
        <w:pStyle w:val="Normal"/>
        <w:jc w:val="both"/>
        <w:rPr>
          <w:rFonts w:ascii="Calibri" w:hAnsi="Calibri" w:cs="" w:asciiTheme="minorHAnsi" w:cstheme="minorBidi" w:hAnsiTheme="minorHAnsi"/>
          <w:lang w:eastAsia="en-US"/>
        </w:rPr>
      </w:pPr>
      <w:r>
        <w:rPr>
          <w:rFonts w:cs="" w:cstheme="minorBidi"/>
          <w:lang w:eastAsia="en-US"/>
        </w:rPr>
      </w:r>
    </w:p>
    <w:p>
      <w:pPr>
        <w:pStyle w:val="Normal"/>
        <w:jc w:val="both"/>
        <w:rPr>
          <w:rFonts w:ascii="Calibri" w:hAnsi="Calibri" w:cs="" w:asciiTheme="minorHAnsi" w:cstheme="minorBidi" w:hAnsiTheme="minorHAnsi"/>
          <w:lang w:eastAsia="en-US"/>
        </w:rPr>
      </w:pPr>
      <w:r>
        <w:rPr>
          <w:rFonts w:cs="" w:cstheme="minorBidi"/>
          <w:lang w:eastAsia="en-US"/>
        </w:rPr>
      </w:r>
    </w:p>
    <w:p>
      <w:pPr>
        <w:pStyle w:val="Normal"/>
        <w:jc w:val="both"/>
        <w:rPr>
          <w:rFonts w:ascii="Calibri" w:hAnsi="Calibri" w:cs="" w:asciiTheme="minorHAnsi" w:cstheme="minorBidi" w:hAnsiTheme="minorHAnsi"/>
          <w:lang w:eastAsia="en-US"/>
        </w:rPr>
      </w:pPr>
      <w:r>
        <w:rPr>
          <w:rFonts w:cs="" w:cstheme="minorBidi"/>
          <w:lang w:eastAsia="en-US"/>
        </w:rPr>
      </w:r>
    </w:p>
    <w:p>
      <w:pPr>
        <w:pStyle w:val="Normal"/>
        <w:jc w:val="both"/>
        <w:rPr>
          <w:rFonts w:ascii="Calibri" w:hAnsi="Calibri" w:cs="" w:asciiTheme="minorHAnsi" w:cstheme="minorBidi" w:hAnsiTheme="minorHAnsi"/>
          <w:lang w:eastAsia="en-US"/>
        </w:rPr>
      </w:pPr>
      <w:r>
        <w:rPr>
          <w:rFonts w:cs="" w:cstheme="minorBidi"/>
          <w:lang w:eastAsia="en-US"/>
        </w:rPr>
        <w:t xml:space="preserve">                                                                                   </w:t>
      </w:r>
      <w:r>
        <w:rPr>
          <w:rFonts w:cs="" w:cstheme="minorBidi"/>
          <w:lang w:eastAsia="en-US"/>
        </w:rPr>
        <w:t>Prorektor ds. studenckich AFiB Vistula</w:t>
      </w:r>
    </w:p>
    <w:p>
      <w:pPr>
        <w:pStyle w:val="Normal"/>
        <w:jc w:val="both"/>
        <w:rPr>
          <w:rFonts w:ascii="Calibri" w:hAnsi="Calibri" w:cs="" w:asciiTheme="minorHAnsi" w:cstheme="minorBidi" w:hAnsiTheme="minorHAnsi"/>
          <w:lang w:eastAsia="en-US"/>
        </w:rPr>
      </w:pPr>
      <w:r>
        <w:rPr>
          <w:rFonts w:cs="" w:cstheme="minorBidi"/>
          <w:lang w:eastAsia="en-US"/>
        </w:rPr>
        <w:t xml:space="preserve">                                                                                   </w:t>
      </w:r>
      <w:r>
        <w:rPr>
          <w:rFonts w:cs="" w:cstheme="minorBidi"/>
          <w:lang w:eastAsia="en-US"/>
        </w:rPr>
        <w:t xml:space="preserve">Pełnomocnik ds. studenckich SGTiR </w:t>
      </w:r>
    </w:p>
    <w:p>
      <w:pPr>
        <w:pStyle w:val="Normal"/>
        <w:jc w:val="both"/>
        <w:rPr>
          <w:rFonts w:ascii="Calibri" w:hAnsi="Calibri" w:cs="" w:asciiTheme="minorHAnsi" w:cstheme="minorBidi" w:hAnsiTheme="minorHAnsi"/>
          <w:lang w:eastAsia="en-US"/>
        </w:rPr>
      </w:pPr>
      <w:r>
        <w:rPr>
          <w:rFonts w:cs="" w:cstheme="minorBidi"/>
          <w:lang w:eastAsia="en-US"/>
        </w:rPr>
        <w:t xml:space="preserve">                                                                                   </w:t>
      </w:r>
      <w:r>
        <w:rPr>
          <w:rFonts w:cs="" w:cstheme="minorBidi"/>
          <w:lang w:eastAsia="en-US"/>
        </w:rPr>
        <w:t>Dr Maria Gasinska</w:t>
      </w:r>
    </w:p>
    <w:p>
      <w:pPr>
        <w:pStyle w:val="Normal"/>
        <w:rPr>
          <w:rFonts w:ascii="Calibri" w:hAnsi="Calibri" w:cs="" w:asciiTheme="minorHAnsi" w:cstheme="minorBidi" w:hAnsiTheme="minorHAnsi"/>
          <w:lang w:eastAsia="en-US"/>
        </w:rPr>
      </w:pPr>
      <w:r>
        <w:rPr>
          <w:rFonts w:cs="" w:cstheme="minorBidi"/>
          <w:lang w:eastAsia="en-US"/>
        </w:rPr>
        <w:t xml:space="preserve">        </w:t>
      </w:r>
    </w:p>
    <w:p>
      <w:pPr>
        <w:pStyle w:val="Normal"/>
        <w:spacing w:lineRule="auto" w:line="259" w:before="0" w:after="160"/>
        <w:rPr/>
      </w:pPr>
      <w:r>
        <w:rPr/>
      </w:r>
      <w:r>
        <w:br w:type="page"/>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rPr>
        <w:b/>
        <w:rFonts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162"/>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04be2"/>
    <w:rPr>
      <w:sz w:val="16"/>
      <w:szCs w:val="16"/>
    </w:rPr>
  </w:style>
  <w:style w:type="character" w:styleId="TekstkomentarzaZnak" w:customStyle="1">
    <w:name w:val="Tekst komentarza Znak"/>
    <w:basedOn w:val="DefaultParagraphFont"/>
    <w:link w:val="Tekstkomentarza"/>
    <w:uiPriority w:val="99"/>
    <w:qFormat/>
    <w:rsid w:val="00204be2"/>
    <w:rPr>
      <w:rFonts w:ascii="Calibri" w:hAnsi="Calibri" w:cs="Calibri"/>
      <w:sz w:val="20"/>
      <w:szCs w:val="20"/>
      <w:lang w:eastAsia="pl-PL"/>
    </w:rPr>
  </w:style>
  <w:style w:type="character" w:styleId="TematkomentarzaZnak" w:customStyle="1">
    <w:name w:val="Temat komentarza Znak"/>
    <w:basedOn w:val="TekstkomentarzaZnak"/>
    <w:link w:val="Tematkomentarza"/>
    <w:uiPriority w:val="99"/>
    <w:semiHidden/>
    <w:qFormat/>
    <w:rsid w:val="00204be2"/>
    <w:rPr>
      <w:rFonts w:ascii="Calibri" w:hAnsi="Calibri" w:cs="Calibri"/>
      <w:b/>
      <w:bCs/>
      <w:sz w:val="20"/>
      <w:szCs w:val="20"/>
      <w:lang w:eastAsia="pl-PL"/>
    </w:rPr>
  </w:style>
  <w:style w:type="character" w:styleId="TekstdymkaZnak" w:customStyle="1">
    <w:name w:val="Tekst dymka Znak"/>
    <w:basedOn w:val="DefaultParagraphFont"/>
    <w:link w:val="Tekstdymka"/>
    <w:uiPriority w:val="99"/>
    <w:semiHidden/>
    <w:qFormat/>
    <w:rsid w:val="00204be2"/>
    <w:rPr>
      <w:rFonts w:ascii="Segoe UI" w:hAnsi="Segoe UI" w:cs="Segoe UI"/>
      <w:sz w:val="18"/>
      <w:szCs w:val="1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20162"/>
    <w:pPr>
      <w:spacing w:before="0" w:after="0"/>
      <w:ind w:left="720" w:hanging="0"/>
      <w:contextualSpacing/>
    </w:pPr>
    <w:rPr/>
  </w:style>
  <w:style w:type="paragraph" w:styleId="Annotationtext">
    <w:name w:val="annotation text"/>
    <w:basedOn w:val="Normal"/>
    <w:link w:val="TekstkomentarzaZnak"/>
    <w:uiPriority w:val="99"/>
    <w:unhideWhenUsed/>
    <w:qFormat/>
    <w:rsid w:val="00204be2"/>
    <w:pPr/>
    <w:rPr>
      <w:sz w:val="20"/>
      <w:szCs w:val="20"/>
    </w:rPr>
  </w:style>
  <w:style w:type="paragraph" w:styleId="Annotationsubject">
    <w:name w:val="annotation subject"/>
    <w:basedOn w:val="Annotationtext"/>
    <w:next w:val="Annotationtext"/>
    <w:link w:val="TematkomentarzaZnak"/>
    <w:uiPriority w:val="99"/>
    <w:semiHidden/>
    <w:unhideWhenUsed/>
    <w:qFormat/>
    <w:rsid w:val="00204be2"/>
    <w:pPr/>
    <w:rPr>
      <w:b/>
      <w:bCs/>
    </w:rPr>
  </w:style>
  <w:style w:type="paragraph" w:styleId="BalloonText">
    <w:name w:val="Balloon Text"/>
    <w:basedOn w:val="Normal"/>
    <w:link w:val="TekstdymkaZnak"/>
    <w:uiPriority w:val="99"/>
    <w:semiHidden/>
    <w:unhideWhenUsed/>
    <w:qFormat/>
    <w:rsid w:val="00204be2"/>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3</Pages>
  <Words>538</Words>
  <Characters>3563</Characters>
  <CharactersWithSpaces>4328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2018-09-06T08:09:00Z</dcterms:created>
  <dc:creator>Maria Gasinska</dc:creator>
  <dc:description/>
  <dc:language>pl-PL</dc:language>
  <cp:lastModifiedBy>Agnieszka Żmurko-Kramarz</cp:lastModifiedBy>
  <dcterms:modified xsi:type="dcterms:W3CDTF">2018-09-06T08:09:00Z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